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888D5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78" w:lineRule="exact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2024-2025学年“崖州湾科技城最具影响力”学生评分细则</w:t>
      </w:r>
    </w:p>
    <w:p w14:paraId="3847BD94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78" w:lineRule="exact"/>
        <w:jc w:val="both"/>
        <w:rPr>
          <w:rFonts w:hint="default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8912E6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（一）思想品德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：主要由政治面貌、参与党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团思政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活动、学生干部任职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获奖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情况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、实习实践四部分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组成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该项累计不超过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分。</w:t>
      </w:r>
    </w:p>
    <w:p w14:paraId="2E9F3F8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中共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党员得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共青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团员得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2FB9EE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2.积极参加科技城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和研究院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组织的党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团思政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活动，一次得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0.5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参加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各类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党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团思政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获奖加分依据详见下表，该项累计不超过2分。（参加并获奖的活动仅加一次，取最高分）</w:t>
      </w:r>
    </w:p>
    <w:tbl>
      <w:tblPr>
        <w:tblStyle w:val="4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669"/>
        <w:gridCol w:w="1707"/>
        <w:gridCol w:w="1575"/>
        <w:gridCol w:w="1575"/>
      </w:tblGrid>
      <w:tr w14:paraId="0C310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EE1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BCE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3F5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3FA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B7DF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其他奖项</w:t>
            </w:r>
          </w:p>
        </w:tc>
      </w:tr>
      <w:tr w14:paraId="44E3E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C7C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3C6B4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DA5B9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1.8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534B2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C24FF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6AEEF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A5E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E3659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CAFFC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1.3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8C68D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556E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 w14:paraId="00D87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5E2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校级（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科技城）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33133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0C5E0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7561F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5A9B8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</w:tbl>
    <w:p w14:paraId="68D6610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担任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科技城或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院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级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学生干部最高得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（各级负责人得2分，其余1分）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；担任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班级学生干部最高得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班级正、副班长，团支部正、副书记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得1分，其余0.5分）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研究生担任相应职务须有6个月以上的任职期，担任多项职务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的，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累计不超过3分。</w:t>
      </w:r>
    </w:p>
    <w:p w14:paraId="09C79AF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获得社会实践优秀个人、优秀学生干部、三好学生等荣誉称号的，国家级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分，省级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，市级得2分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院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校级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eastAsia="zh-CN"/>
          <w14:textFill>
            <w14:solidFill>
              <w14:schemeClr w14:val="tx1"/>
            </w14:solidFill>
          </w14:textFill>
        </w:rPr>
        <w:t>含科技城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）得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，该项可累计加分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38FFC5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5.获得国家级奖学金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，省市级得2分，院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校级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eastAsia="zh-CN"/>
          <w14:textFill>
            <w14:solidFill>
              <w14:schemeClr w14:val="tx1"/>
            </w14:solidFill>
          </w14:textFill>
        </w:rPr>
        <w:t>含科技城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按下表加分，其他奖项参照校级一等奖加分，该项可累计加分。</w:t>
      </w:r>
    </w:p>
    <w:tbl>
      <w:tblPr>
        <w:tblStyle w:val="4"/>
        <w:tblW w:w="357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348"/>
        <w:gridCol w:w="1370"/>
        <w:gridCol w:w="1383"/>
      </w:tblGrid>
      <w:tr w14:paraId="55822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B174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11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C6B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1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DBB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11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FD9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 w14:paraId="64451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34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86ED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校级（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科技城）</w:t>
            </w:r>
          </w:p>
        </w:tc>
        <w:tc>
          <w:tcPr>
            <w:tcW w:w="1106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9B1E26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24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E12126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  <w:tc>
          <w:tcPr>
            <w:tcW w:w="1134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7626C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</w:tbl>
    <w:p w14:paraId="2AD1965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6.担任实习生、学生助管、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兼职辅导员、助理辅导员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等社会实习实践工作，服务期不满1个月得0.5分，1-3个月得1分，3个月以上得2分。该项不可累计加分。</w:t>
      </w:r>
    </w:p>
    <w:p w14:paraId="0EAFEF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（二）学术科研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：主要由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学术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论文类、纵向课题类、专利类、著作出版物类四部分组成。该项累计不超过1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分。</w:t>
      </w:r>
    </w:p>
    <w:p w14:paraId="7F84175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学术论文类：学术论文计分标准如下表。</w:t>
      </w:r>
    </w:p>
    <w:tbl>
      <w:tblPr>
        <w:tblStyle w:val="9"/>
        <w:tblW w:w="5123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1437"/>
        <w:gridCol w:w="1432"/>
        <w:gridCol w:w="1843"/>
        <w:gridCol w:w="1399"/>
        <w:gridCol w:w="1771"/>
      </w:tblGrid>
      <w:tr w14:paraId="2A657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0" w:hRule="exact"/>
          <w:jc w:val="center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70F9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期刊</w:t>
            </w:r>
          </w:p>
          <w:p w14:paraId="2586356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154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被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SCI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一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区收录的学术期刊论文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18B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 xml:space="preserve">被SCI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区收录的学术期刊论文</w:t>
            </w:r>
          </w:p>
        </w:tc>
        <w:tc>
          <w:tcPr>
            <w:tcW w:w="108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50860D">
            <w:pPr>
              <w:keepNext w:val="0"/>
              <w:keepLines w:val="0"/>
              <w:widowControl/>
              <w:suppressLineNumbers w:val="0"/>
              <w:spacing w:line="578" w:lineRule="exac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被SCI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区收录的学术期刊论文、EI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期刊论文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（不包括EI检索会议论文）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4402E">
            <w:pPr>
              <w:keepNext w:val="0"/>
              <w:keepLines w:val="0"/>
              <w:widowControl/>
              <w:suppressLineNumbers w:val="0"/>
              <w:spacing w:line="57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被SCI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四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区收录的学术期刊论文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北大核心期刊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highlight w:val="none"/>
                <w:u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36C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全日制本科院校学报、各省社科院期刊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刊载的学术期刊论文</w:t>
            </w:r>
          </w:p>
        </w:tc>
      </w:tr>
      <w:tr w14:paraId="2CE61B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exact"/>
          <w:jc w:val="center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2665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83A1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646DC3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108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F7BD4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95F0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9DCF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 w14:paraId="545473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和他人共同完成的，成果在团队中个人排序前三名可以认定加分，个人得分占比详见下表，导师不算在排序内。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2152"/>
        <w:gridCol w:w="2136"/>
        <w:gridCol w:w="2136"/>
      </w:tblGrid>
      <w:tr w14:paraId="7BC4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noWrap w:val="0"/>
            <w:vAlign w:val="center"/>
          </w:tcPr>
          <w:p w14:paraId="5A1162D8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个人排序</w:t>
            </w:r>
          </w:p>
        </w:tc>
        <w:tc>
          <w:tcPr>
            <w:tcW w:w="2361" w:type="dxa"/>
            <w:noWrap w:val="0"/>
            <w:vAlign w:val="center"/>
          </w:tcPr>
          <w:p w14:paraId="202DD844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61" w:type="dxa"/>
            <w:noWrap w:val="0"/>
            <w:vAlign w:val="center"/>
          </w:tcPr>
          <w:p w14:paraId="005D1FFE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61" w:type="dxa"/>
            <w:noWrap w:val="0"/>
            <w:vAlign w:val="center"/>
          </w:tcPr>
          <w:p w14:paraId="3B53593B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5A9EB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noWrap w:val="0"/>
            <w:vAlign w:val="center"/>
          </w:tcPr>
          <w:p w14:paraId="11DB2477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361" w:type="dxa"/>
            <w:noWrap w:val="0"/>
            <w:vAlign w:val="center"/>
          </w:tcPr>
          <w:p w14:paraId="4D8FA766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361" w:type="dxa"/>
            <w:noWrap w:val="0"/>
            <w:vAlign w:val="center"/>
          </w:tcPr>
          <w:p w14:paraId="7BC5CF44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361" w:type="dxa"/>
            <w:noWrap w:val="0"/>
            <w:vAlign w:val="center"/>
          </w:tcPr>
          <w:p w14:paraId="77CB7F63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</w:tbl>
    <w:p w14:paraId="5C66FF5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纵向课题类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：纵向课题国家级3分，省部级2分，地厅级（含科技城）1分，和他人共同完成的，团队中个人排序前三名可以认定加分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52D01A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专利类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：专利（已授权）主要分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发明专利和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实用新型专利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发明专利每项2分，实用新型专利每项1分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（含软著）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第一完成人或导师是第一完成人的第二完成人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可以认定加分。</w:t>
      </w:r>
    </w:p>
    <w:p w14:paraId="144418C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4.著作出版物：出版著作每项可加2分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第一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作者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eastAsia="zh-Hans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发明人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或导师是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第一作者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发明人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的第二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作者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发明人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可以认定加分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72DFE2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5.博士基金项目：博士基金项目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计分标准如下表。</w:t>
      </w:r>
    </w:p>
    <w:tbl>
      <w:tblPr>
        <w:tblStyle w:val="9"/>
        <w:tblW w:w="4565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1442"/>
        <w:gridCol w:w="1436"/>
        <w:gridCol w:w="1852"/>
        <w:gridCol w:w="2224"/>
      </w:tblGrid>
      <w:tr w14:paraId="0F728B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exact"/>
          <w:jc w:val="center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1FE7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11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5C16E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省级</w:t>
            </w:r>
          </w:p>
        </w:tc>
        <w:tc>
          <w:tcPr>
            <w:tcW w:w="121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1B977E">
            <w:pPr>
              <w:keepNext w:val="0"/>
              <w:keepLines w:val="0"/>
              <w:widowControl/>
              <w:suppressLineNumbers w:val="0"/>
              <w:spacing w:line="57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市级</w:t>
            </w:r>
          </w:p>
        </w:tc>
        <w:tc>
          <w:tcPr>
            <w:tcW w:w="14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629AA">
            <w:pPr>
              <w:keepNext w:val="0"/>
              <w:keepLines w:val="0"/>
              <w:widowControl/>
              <w:suppressLineNumbers w:val="0"/>
              <w:spacing w:line="57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院校级（含科技城）</w:t>
            </w:r>
          </w:p>
        </w:tc>
      </w:tr>
      <w:tr w14:paraId="0C1EE8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exact"/>
          <w:jc w:val="center"/>
        </w:trPr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539D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33EA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0A91AC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121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C0D046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3A94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 w14:paraId="622092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和他人共同完成的，成果在团队中个人排序前三名可以认定加分，个人得分占比详见下表，导师不算在排序内。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2152"/>
        <w:gridCol w:w="2136"/>
        <w:gridCol w:w="2136"/>
      </w:tblGrid>
      <w:tr w14:paraId="24F4E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noWrap w:val="0"/>
            <w:vAlign w:val="center"/>
          </w:tcPr>
          <w:p w14:paraId="32CBC247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个人排序</w:t>
            </w:r>
          </w:p>
        </w:tc>
        <w:tc>
          <w:tcPr>
            <w:tcW w:w="2361" w:type="dxa"/>
            <w:noWrap w:val="0"/>
            <w:vAlign w:val="center"/>
          </w:tcPr>
          <w:p w14:paraId="0607B598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61" w:type="dxa"/>
            <w:noWrap w:val="0"/>
            <w:vAlign w:val="center"/>
          </w:tcPr>
          <w:p w14:paraId="1A6BDE2E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61" w:type="dxa"/>
            <w:noWrap w:val="0"/>
            <w:vAlign w:val="center"/>
          </w:tcPr>
          <w:p w14:paraId="7C9A88A9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08C7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noWrap w:val="0"/>
            <w:vAlign w:val="center"/>
          </w:tcPr>
          <w:p w14:paraId="35FECF22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361" w:type="dxa"/>
            <w:noWrap w:val="0"/>
            <w:vAlign w:val="center"/>
          </w:tcPr>
          <w:p w14:paraId="0915ED0B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361" w:type="dxa"/>
            <w:noWrap w:val="0"/>
            <w:vAlign w:val="center"/>
          </w:tcPr>
          <w:p w14:paraId="0D7AE7D2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361" w:type="dxa"/>
            <w:noWrap w:val="0"/>
            <w:vAlign w:val="center"/>
          </w:tcPr>
          <w:p w14:paraId="6F1EF549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</w:tbl>
    <w:p w14:paraId="6FF2B81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6.科研奖项类：</w:t>
      </w:r>
    </w:p>
    <w:tbl>
      <w:tblPr>
        <w:tblStyle w:val="4"/>
        <w:tblW w:w="439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349"/>
        <w:gridCol w:w="1371"/>
        <w:gridCol w:w="1383"/>
        <w:gridCol w:w="1392"/>
      </w:tblGrid>
      <w:tr w14:paraId="16229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472E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DFA2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272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184C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04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其他奖项</w:t>
            </w:r>
          </w:p>
        </w:tc>
      </w:tr>
      <w:tr w14:paraId="7C57F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2368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D46AC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05A5C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59544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98ACC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 w14:paraId="4861B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3AF0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A23B7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63DEE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0E9DF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AA3E5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156D4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DD103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校级（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科技城）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8A163F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234536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F42E3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E5D40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</w:tbl>
    <w:p w14:paraId="7455BD4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7.学术类会议主题报告演讲</w:t>
      </w:r>
    </w:p>
    <w:tbl>
      <w:tblPr>
        <w:tblStyle w:val="9"/>
        <w:tblW w:w="4354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1329"/>
        <w:gridCol w:w="1323"/>
        <w:gridCol w:w="1709"/>
        <w:gridCol w:w="2052"/>
      </w:tblGrid>
      <w:tr w14:paraId="6D776D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exact"/>
          <w:jc w:val="center"/>
        </w:trPr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AD6F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1F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518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省级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75A386">
            <w:pPr>
              <w:keepNext w:val="0"/>
              <w:keepLines w:val="0"/>
              <w:widowControl/>
              <w:suppressLineNumbers w:val="0"/>
              <w:spacing w:line="57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市级</w:t>
            </w:r>
          </w:p>
        </w:tc>
        <w:tc>
          <w:tcPr>
            <w:tcW w:w="141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1DAEA">
            <w:pPr>
              <w:keepNext w:val="0"/>
              <w:keepLines w:val="0"/>
              <w:widowControl/>
              <w:suppressLineNumbers w:val="0"/>
              <w:spacing w:line="57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院校级（含科技城）</w:t>
            </w:r>
          </w:p>
        </w:tc>
      </w:tr>
      <w:tr w14:paraId="43CF3A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exact"/>
          <w:jc w:val="center"/>
        </w:trPr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1A2A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5984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00FAA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380768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C559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</w:tbl>
    <w:p w14:paraId="61DAFE0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</w:p>
    <w:p w14:paraId="0F61CDA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（三）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创新创业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：主要由学科竞赛、企业或其他单位合作项目、创业三部分组成。该项累计不超过1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分。</w:t>
      </w:r>
    </w:p>
    <w:p w14:paraId="49842F3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1.学科竞赛：学科竞赛包括但不限于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挑战杯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大学生课外科技学术作品竞赛、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挑战杯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大学生创业大赛、计算机（含数学）建模大赛、ERP沙盘模拟大赛、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互联网+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等正规科技竞赛。学科竞赛计分标准如下表。</w:t>
      </w:r>
    </w:p>
    <w:tbl>
      <w:tblPr>
        <w:tblStyle w:val="4"/>
        <w:tblW w:w="439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349"/>
        <w:gridCol w:w="1371"/>
        <w:gridCol w:w="1383"/>
        <w:gridCol w:w="1392"/>
      </w:tblGrid>
      <w:tr w14:paraId="0010E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90E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E50B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7EC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AB57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8594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其他奖项</w:t>
            </w:r>
          </w:p>
        </w:tc>
      </w:tr>
      <w:tr w14:paraId="28C4B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BEEC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B8352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79EFC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A3D2C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C28C1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</w:tr>
      <w:tr w14:paraId="12A3A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5425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BCE3B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B77C1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12C28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569FF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6189E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29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07787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校级（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科技城）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7B1910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5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E56B6B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23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D20EC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E389C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</w:tbl>
    <w:p w14:paraId="02A2BDE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和他人共同完成的，成果在团队中个人排序前三名可以认定加分，个人得分占比详见下表，导师不算在排序内。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2152"/>
        <w:gridCol w:w="2136"/>
        <w:gridCol w:w="2136"/>
      </w:tblGrid>
      <w:tr w14:paraId="6CC0B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noWrap w:val="0"/>
            <w:vAlign w:val="center"/>
          </w:tcPr>
          <w:p w14:paraId="1A8F0978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个人排序</w:t>
            </w:r>
          </w:p>
        </w:tc>
        <w:tc>
          <w:tcPr>
            <w:tcW w:w="2361" w:type="dxa"/>
            <w:noWrap w:val="0"/>
            <w:vAlign w:val="center"/>
          </w:tcPr>
          <w:p w14:paraId="0632ED41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61" w:type="dxa"/>
            <w:noWrap w:val="0"/>
            <w:vAlign w:val="center"/>
          </w:tcPr>
          <w:p w14:paraId="4BC0B5D6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61" w:type="dxa"/>
            <w:noWrap w:val="0"/>
            <w:vAlign w:val="center"/>
          </w:tcPr>
          <w:p w14:paraId="5D93D4A3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~n</w:t>
            </w:r>
          </w:p>
        </w:tc>
      </w:tr>
      <w:tr w14:paraId="4965D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noWrap w:val="0"/>
            <w:vAlign w:val="center"/>
          </w:tcPr>
          <w:p w14:paraId="11891ED4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361" w:type="dxa"/>
            <w:noWrap w:val="0"/>
            <w:vAlign w:val="center"/>
          </w:tcPr>
          <w:p w14:paraId="5A212CD8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361" w:type="dxa"/>
            <w:noWrap w:val="0"/>
            <w:vAlign w:val="center"/>
          </w:tcPr>
          <w:p w14:paraId="02ED19B8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361" w:type="dxa"/>
            <w:noWrap w:val="0"/>
            <w:vAlign w:val="center"/>
          </w:tcPr>
          <w:p w14:paraId="0B677D2B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</w:tbl>
    <w:p w14:paraId="2D49742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</w:p>
    <w:p w14:paraId="1D8732F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2.企业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或其他单位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合作项目：企业合作项目按照项目金额认定加分，经费小于2万元加1分；2万（含2万）-5万加2分，5万元及以上加3分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和他人共同完成的，团队中个人排序前三名可以认定加分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。</w:t>
      </w:r>
    </w:p>
    <w:p w14:paraId="5B7579D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和他人共同完成的，成果在团队中个人排序前三名可以认定加分，个人得分占比详见下表，导师不算在排序内。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2152"/>
        <w:gridCol w:w="2136"/>
        <w:gridCol w:w="2136"/>
      </w:tblGrid>
      <w:tr w14:paraId="06B93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noWrap w:val="0"/>
            <w:vAlign w:val="center"/>
          </w:tcPr>
          <w:p w14:paraId="50A13B1D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个人排序</w:t>
            </w:r>
          </w:p>
        </w:tc>
        <w:tc>
          <w:tcPr>
            <w:tcW w:w="2361" w:type="dxa"/>
            <w:noWrap w:val="0"/>
            <w:vAlign w:val="center"/>
          </w:tcPr>
          <w:p w14:paraId="7FB2A342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61" w:type="dxa"/>
            <w:noWrap w:val="0"/>
            <w:vAlign w:val="center"/>
          </w:tcPr>
          <w:p w14:paraId="0305BB7F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61" w:type="dxa"/>
            <w:noWrap w:val="0"/>
            <w:vAlign w:val="center"/>
          </w:tcPr>
          <w:p w14:paraId="0B964284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~n</w:t>
            </w:r>
          </w:p>
        </w:tc>
      </w:tr>
      <w:tr w14:paraId="0F17F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noWrap w:val="0"/>
            <w:vAlign w:val="center"/>
          </w:tcPr>
          <w:p w14:paraId="5A6586F9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361" w:type="dxa"/>
            <w:noWrap w:val="0"/>
            <w:vAlign w:val="center"/>
          </w:tcPr>
          <w:p w14:paraId="2167275F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361" w:type="dxa"/>
            <w:noWrap w:val="0"/>
            <w:vAlign w:val="center"/>
          </w:tcPr>
          <w:p w14:paraId="31481E40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2361" w:type="dxa"/>
            <w:noWrap w:val="0"/>
            <w:vAlign w:val="center"/>
          </w:tcPr>
          <w:p w14:paraId="23DF2188">
            <w:pPr>
              <w:pStyle w:val="3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beforeAutospacing="0" w:after="0" w:afterAutospacing="0" w:line="578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vertAlign w:val="baseline"/>
                <w:rtl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</w:tbl>
    <w:p w14:paraId="78BF83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</w:p>
    <w:p w14:paraId="7ACC1FE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3.创业：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学生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在培养期内，已独立或合伙注册公司，或获得政府资助、风险投资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的，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带动就业效果良好，在大学生自主创业者中有较强的引领作用，具有一定的知名度，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最高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可加3分。</w:t>
      </w:r>
    </w:p>
    <w:p w14:paraId="67B2175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4.创新创业类会议主题报告演讲</w:t>
      </w:r>
    </w:p>
    <w:tbl>
      <w:tblPr>
        <w:tblStyle w:val="9"/>
        <w:tblW w:w="4354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1329"/>
        <w:gridCol w:w="1323"/>
        <w:gridCol w:w="1709"/>
        <w:gridCol w:w="2052"/>
      </w:tblGrid>
      <w:tr w14:paraId="38D7D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exact"/>
          <w:jc w:val="center"/>
        </w:trPr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0F98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87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51C1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省级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26CDD65">
            <w:pPr>
              <w:keepNext w:val="0"/>
              <w:keepLines w:val="0"/>
              <w:widowControl/>
              <w:suppressLineNumbers w:val="0"/>
              <w:spacing w:line="57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市级</w:t>
            </w:r>
          </w:p>
        </w:tc>
        <w:tc>
          <w:tcPr>
            <w:tcW w:w="141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2AB71">
            <w:pPr>
              <w:keepNext w:val="0"/>
              <w:keepLines w:val="0"/>
              <w:widowControl/>
              <w:suppressLineNumbers w:val="0"/>
              <w:spacing w:line="57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院校级（含科技城）</w:t>
            </w:r>
          </w:p>
        </w:tc>
      </w:tr>
      <w:tr w14:paraId="7DDDFA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exact"/>
          <w:jc w:val="center"/>
        </w:trPr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CE6A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71E9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AF4F4A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17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EA5E54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9AB3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8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</w:tbl>
    <w:p w14:paraId="5C4AA07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</w:p>
    <w:p w14:paraId="50727FD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（四）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志愿服务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主要由志愿服务时长和获奖情况两部分组成，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该项累计不超过1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分。</w:t>
      </w:r>
    </w:p>
    <w:p w14:paraId="1E6AD5B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参加科技城组织的或其他大型志愿者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活动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比如“三下乡”实践、支教活动、社区志愿服务等，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每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3小时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可加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0.5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。该项累计不超过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分。</w:t>
      </w:r>
    </w:p>
    <w:p w14:paraId="080A76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获得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优秀志愿者等荣誉称号或在志愿服务有突出表彰的，国家级4分，省级3分，市级2分，院校级（含科技城）1分，该项可累计加分。</w:t>
      </w:r>
    </w:p>
    <w:p w14:paraId="6B282D5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（五）文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化体育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：参加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各类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文体活动。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文体活动加分依据详见下表，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该项累计不超过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分。</w:t>
      </w:r>
    </w:p>
    <w:p w14:paraId="5A8C2A6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1.参加文体类活动获得奖项</w:t>
      </w:r>
    </w:p>
    <w:tbl>
      <w:tblPr>
        <w:tblStyle w:val="4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669"/>
        <w:gridCol w:w="1707"/>
        <w:gridCol w:w="1575"/>
        <w:gridCol w:w="1575"/>
      </w:tblGrid>
      <w:tr w14:paraId="668A6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4A8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DAA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BD98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E36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54C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其他奖项</w:t>
            </w:r>
          </w:p>
        </w:tc>
      </w:tr>
      <w:tr w14:paraId="629EC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8AFA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D11C6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516A4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8F91D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1720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1633C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D8B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省部级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6A4B1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9EB44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8655A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5B551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 w14:paraId="5883F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C560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校级（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  <w:u w:val="none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科技城）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0BB57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1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EA761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722A0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72302">
            <w:pPr>
              <w:keepNext w:val="0"/>
              <w:keepLines w:val="0"/>
              <w:suppressLineNumbers w:val="0"/>
              <w:spacing w:before="0" w:beforeAutospacing="0" w:after="0" w:afterAutospacing="0" w:line="578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</w:tbl>
    <w:p w14:paraId="34020F1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28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2.参加或组织各类文体活动表演节目的每次加0.5分，累计不超过3分。</w:t>
      </w:r>
    </w:p>
    <w:p w14:paraId="239C101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28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3.在新媒体平台发布/主演学术科研类或宣传科技城相关的正能量视频等作品，每条浏览量达500以上的视频，加0.5分，累计不超过3分。</w:t>
      </w:r>
    </w:p>
    <w:p w14:paraId="6846A8F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31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b/>
          <w:bCs/>
          <w:color w:val="000000" w:themeColor="text1"/>
          <w:spacing w:val="-3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（六）</w:t>
      </w:r>
      <w:r>
        <w:rPr>
          <w:rFonts w:hint="default" w:ascii="仿宋_GB2312" w:hAnsi="仿宋_GB2312" w:eastAsia="仿宋_GB2312" w:cs="仿宋_GB2312"/>
          <w:b/>
          <w:bCs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各类成果及奖励认定标准</w:t>
      </w:r>
      <w:bookmarkStart w:id="0" w:name="_GoBack"/>
      <w:bookmarkEnd w:id="0"/>
    </w:p>
    <w:p w14:paraId="156E2D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1.成果佐证材料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必须提交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原件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，成果中应清晰标识学生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姓名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，如作者、发明人等，否则不计分。</w:t>
      </w:r>
    </w:p>
    <w:p w14:paraId="420D69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2.同一成果只能在一个单项中得分，同类不同等级奖项不能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累积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计分，均计最高分。</w:t>
      </w:r>
    </w:p>
    <w:p w14:paraId="3003112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3.若为团体获奖或荣誉的，该项得分减半。</w:t>
      </w:r>
    </w:p>
    <w:p w14:paraId="025DAB1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参评成果与奖励须在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本培养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阶段内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截至2025年7月31日前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获得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。</w:t>
      </w:r>
    </w:p>
    <w:p w14:paraId="0C9E9EC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参评学生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所获奖励或成果未列入以上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计分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类别的，由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Hans"/>
          <w14:textFill>
            <w14:solidFill>
              <w14:schemeClr w14:val="tx1"/>
            </w14:solidFill>
          </w14:textFill>
        </w:rPr>
        <w:t>评审团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商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pacing w:val="0"/>
          <w:sz w:val="32"/>
          <w:szCs w:val="32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定加分。</w:t>
      </w:r>
    </w:p>
    <w:p w14:paraId="7CEEB8D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31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（七）综合分数</w:t>
      </w:r>
    </w:p>
    <w:p w14:paraId="2D7358A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28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综合分数为学生的最终得分，由学生基础分、复评分数两部分组成。计算公式如下：</w:t>
      </w:r>
    </w:p>
    <w:p w14:paraId="3320DA3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28" w:firstLineChars="200"/>
        <w:jc w:val="both"/>
        <w:textAlignment w:val="auto"/>
        <w:rPr>
          <w:rFonts w:hint="default" w:ascii="Times New Roman" w:hAnsi="Times New Roman" w:cs="Times New Roman"/>
          <w:color w:val="000000" w:themeColor="text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3"/>
          <w:highlight w:val="none"/>
          <w:rtl w:val="0"/>
          <w:lang w:val="en-US" w:eastAsia="zh-CN"/>
          <w14:textFill>
            <w14:solidFill>
              <w14:schemeClr w14:val="tx1"/>
            </w14:solidFill>
          </w14:textFill>
        </w:rPr>
        <w:t>综合分数=基础分+复评分数</w:t>
      </w:r>
    </w:p>
    <w:p w14:paraId="30D60F3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A758AB"/>
    <w:multiLevelType w:val="singleLevel"/>
    <w:tmpl w:val="4AA758AB"/>
    <w:lvl w:ilvl="0" w:tentative="0">
      <w:start w:val="1"/>
      <w:numFmt w:val="chineseCounting"/>
      <w:pStyle w:val="7"/>
      <w:suff w:val="nothing"/>
      <w:lvlText w:val="%1、"/>
      <w:lvlJc w:val="left"/>
      <w:pPr>
        <w:ind w:left="6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1ZTgyYmNhYmQ0MzdmMzBhYWU3ZmMzNDBhMzg2M2QifQ=="/>
  </w:docVars>
  <w:rsids>
    <w:rsidRoot w:val="668E0EE2"/>
    <w:rsid w:val="0074082C"/>
    <w:rsid w:val="0543778F"/>
    <w:rsid w:val="0F746435"/>
    <w:rsid w:val="18643C24"/>
    <w:rsid w:val="1A9F5418"/>
    <w:rsid w:val="27B76A5E"/>
    <w:rsid w:val="28093419"/>
    <w:rsid w:val="29AA4AED"/>
    <w:rsid w:val="2BC92F9E"/>
    <w:rsid w:val="30286D4C"/>
    <w:rsid w:val="31662B1E"/>
    <w:rsid w:val="34D00193"/>
    <w:rsid w:val="3A3F0D78"/>
    <w:rsid w:val="43EA7528"/>
    <w:rsid w:val="44B02FD6"/>
    <w:rsid w:val="46E644E0"/>
    <w:rsid w:val="50B41908"/>
    <w:rsid w:val="521B2A75"/>
    <w:rsid w:val="53D105C9"/>
    <w:rsid w:val="61A31A2E"/>
    <w:rsid w:val="631E2127"/>
    <w:rsid w:val="668E0EE2"/>
    <w:rsid w:val="6F0D5BEF"/>
    <w:rsid w:val="6F8B0318"/>
    <w:rsid w:val="72646D97"/>
    <w:rsid w:val="795A726B"/>
    <w:rsid w:val="7B4D7639"/>
    <w:rsid w:val="7BCF4EE9"/>
    <w:rsid w:val="7C6A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Body Text"/>
    <w:basedOn w:val="1"/>
    <w:qFormat/>
    <w:uiPriority w:val="1"/>
    <w:pPr>
      <w:ind w:left="108"/>
    </w:pPr>
    <w:rPr>
      <w:rFonts w:ascii="仿宋" w:hAnsi="仿宋" w:eastAsia="仿宋"/>
      <w:sz w:val="32"/>
      <w:szCs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公一 黑三标题"/>
    <w:basedOn w:val="1"/>
    <w:qFormat/>
    <w:uiPriority w:val="0"/>
    <w:pPr>
      <w:numPr>
        <w:ilvl w:val="0"/>
        <w:numId w:val="1"/>
      </w:numPr>
      <w:adjustRightInd w:val="0"/>
      <w:snapToGrid w:val="0"/>
      <w:spacing w:line="578" w:lineRule="exact"/>
      <w:ind w:firstLine="200" w:firstLineChars="200"/>
      <w:jc w:val="left"/>
      <w:textAlignment w:val="baseline"/>
      <w:outlineLvl w:val="0"/>
    </w:pPr>
    <w:rPr>
      <w:rFonts w:ascii="Times New Roman" w:hAnsi="Times New Roman" w:eastAsia="黑体" w:cs="Times New Roman"/>
      <w:sz w:val="32"/>
      <w:szCs w:val="32"/>
    </w:rPr>
  </w:style>
  <w:style w:type="paragraph" w:customStyle="1" w:styleId="8">
    <w:name w:val="Table Paragraph"/>
    <w:basedOn w:val="1"/>
    <w:qFormat/>
    <w:uiPriority w:val="1"/>
  </w:style>
  <w:style w:type="table" w:customStyle="1" w:styleId="9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2278</Words>
  <Characters>2442</Characters>
  <Lines>0</Lines>
  <Paragraphs>0</Paragraphs>
  <TotalTime>0</TotalTime>
  <ScaleCrop>false</ScaleCrop>
  <LinksUpToDate>false</LinksUpToDate>
  <CharactersWithSpaces>2467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2023-11-13T09:22:00Z</dcterms:created>
  <dc:creator>lbbc</dc:creator>
  <cp:lastModifiedBy>王雅琪</cp:lastModifiedBy>
  <cp:lastPrinted>2024-11-20T10:02:00Z</cp:lastPrinted>
  <dcterms:modified xsi:type="dcterms:W3CDTF">2025-10-29T09:12:55Z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4D49752D3C614965AB2964CACD7945E8_13</vt:lpwstr>
  </property>
  <property fmtid="{D5CDD505-2E9C-101B-9397-08002B2CF9AE}" pid="4" name="KSOTemplateDocerSaveRecord">
    <vt:lpwstr>eyJoZGlkIjoiYmM1ZTgyYmNhYmQ0MzdmMzBhYWU3ZmMzNDBhMzg2M2QiLCJ1c2VySWQiOiI2OTY5MTk2MDUifQ==</vt:lpwstr>
  </property>
</Properties>
</file>