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2"/>
        <w:rPr>
          <w:rFonts w:hint="default" w:ascii="Calibri" w:hAnsi="Calibri" w:eastAsia="宋体" w:cs="Times New Roman"/>
          <w:b/>
          <w:bCs/>
          <w:sz w:val="24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4"/>
          <w:szCs w:val="32"/>
          <w:lang w:val="en-US" w:eastAsia="zh-CN"/>
        </w:rPr>
        <w:t>附件1</w:t>
      </w:r>
    </w:p>
    <w:p>
      <w:pPr>
        <w:spacing w:line="240" w:lineRule="auto"/>
        <w:ind w:firstLine="0" w:firstLineChars="0"/>
        <w:jc w:val="center"/>
        <w:rPr>
          <w:rFonts w:hint="default" w:ascii="Calibri" w:hAnsi="Calibri" w:eastAsia="宋体" w:cs="Times New Roman"/>
          <w:b/>
          <w:bCs/>
          <w:sz w:val="40"/>
          <w:szCs w:val="48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40"/>
          <w:szCs w:val="48"/>
          <w:lang w:val="en-US" w:eastAsia="zh-CN"/>
        </w:rPr>
        <w:t>浙江大学海南研究院危险化学品采购申请单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19"/>
        <w:gridCol w:w="684"/>
        <w:gridCol w:w="797"/>
        <w:gridCol w:w="837"/>
        <w:gridCol w:w="693"/>
        <w:gridCol w:w="1379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申请团队名称</w:t>
            </w:r>
          </w:p>
        </w:tc>
        <w:tc>
          <w:tcPr>
            <w:tcW w:w="41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经办人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结算经费号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结算经费名称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采购危险化学品信息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种类和级别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规格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color w:val="FF00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21"/>
                <w:vertAlign w:val="baseline"/>
                <w:lang w:val="en-US" w:eastAsia="zh-CN"/>
              </w:rPr>
              <w:t>（示例）盐酸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color w:val="FF000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color w:val="FF0000"/>
                <w:sz w:val="21"/>
                <w:vertAlign w:val="baseline"/>
                <w:lang w:val="en-US" w:eastAsia="zh-CN"/>
              </w:rPr>
              <w:t>第三类易制毒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color w:val="FF0000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color w:val="FF0000"/>
                <w:sz w:val="21"/>
                <w:vertAlign w:val="baseline"/>
                <w:lang w:val="en-US" w:eastAsia="zh-CN"/>
              </w:rPr>
              <w:t>AR500ml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color w:val="FF00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color w:val="FF00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21"/>
                <w:vertAlign w:val="baseline"/>
                <w:lang w:val="en-US" w:eastAsia="zh-CN"/>
              </w:rPr>
              <w:t>（示例）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73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安全负责人审核</w:t>
            </w:r>
          </w:p>
        </w:tc>
        <w:tc>
          <w:tcPr>
            <w:tcW w:w="5783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73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团队首席审核</w:t>
            </w:r>
          </w:p>
        </w:tc>
        <w:tc>
          <w:tcPr>
            <w:tcW w:w="5783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default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73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实验设备部审核</w:t>
            </w:r>
          </w:p>
        </w:tc>
        <w:tc>
          <w:tcPr>
            <w:tcW w:w="5783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73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vertAlign w:val="baseline"/>
                <w:lang w:val="en-US" w:eastAsia="zh-CN"/>
              </w:rPr>
              <w:t>分管领导审核</w:t>
            </w:r>
          </w:p>
        </w:tc>
        <w:tc>
          <w:tcPr>
            <w:tcW w:w="5783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940" w:firstLineChars="1400"/>
              <w:jc w:val="left"/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spacing w:line="240" w:lineRule="auto"/>
        <w:ind w:firstLine="0" w:firstLineChars="0"/>
        <w:rPr>
          <w:rFonts w:hint="eastAsia" w:ascii="Calibri" w:hAnsi="Calibri" w:eastAsia="宋体" w:cs="Times New Roman"/>
          <w:sz w:val="21"/>
          <w:lang w:val="en-US" w:eastAsia="zh-CN"/>
        </w:rPr>
      </w:pPr>
      <w:r>
        <w:rPr>
          <w:rFonts w:hint="eastAsia" w:ascii="Calibri" w:hAnsi="Calibri" w:eastAsia="宋体" w:cs="Times New Roman"/>
          <w:sz w:val="21"/>
          <w:lang w:val="en-US" w:eastAsia="zh-CN"/>
        </w:rPr>
        <w:t>注：1.购买剧毒化学品、第一类易制毒化学品和爆炸品（含硝酸铵、苦味酸）的，由实验室安全负责人、团队首席、实验设备部审核后报分管领导审批。</w:t>
      </w:r>
    </w:p>
    <w:p>
      <w:pPr>
        <w:spacing w:line="240" w:lineRule="auto"/>
        <w:ind w:firstLine="0" w:firstLineChars="0"/>
        <w:rPr>
          <w:rFonts w:hint="eastAsia" w:ascii="Calibri" w:hAnsi="Calibri" w:eastAsia="宋体" w:cs="Times New Roman"/>
          <w:sz w:val="21"/>
          <w:lang w:val="en-US" w:eastAsia="zh-CN"/>
        </w:rPr>
      </w:pPr>
      <w:r>
        <w:rPr>
          <w:rFonts w:hint="eastAsia" w:ascii="Calibri" w:hAnsi="Calibri" w:eastAsia="宋体" w:cs="Times New Roman"/>
          <w:sz w:val="21"/>
          <w:lang w:val="en-US" w:eastAsia="zh-CN"/>
        </w:rPr>
        <w:t>2.购买麻醉药品、精神药品和医疗用毒性药品的，由安全负责人、团队首席、实验设备部审核后报分管领导审批。</w:t>
      </w:r>
    </w:p>
    <w:p>
      <w:pPr>
        <w:spacing w:line="240" w:lineRule="auto"/>
        <w:ind w:firstLine="0" w:firstLineChars="0"/>
      </w:pPr>
      <w:r>
        <w:rPr>
          <w:rFonts w:hint="eastAsia" w:ascii="Calibri" w:hAnsi="Calibri" w:eastAsia="宋体" w:cs="Times New Roman"/>
          <w:sz w:val="21"/>
          <w:lang w:val="en-US" w:eastAsia="zh-CN"/>
        </w:rPr>
        <w:t>3.购买易制爆化学品和第二、三类易制毒化学品的，由安全负责人、团队首席审核后、报实验设备部审批备案。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jc2MTZkODYxMGRkNTU4MWM5MTA4Yjk3MDhlMjkifQ=="/>
  </w:docVars>
  <w:rsids>
    <w:rsidRoot w:val="00000000"/>
    <w:rsid w:val="2E2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2023-10-16T08:14:58Z</dcterms:created>
  <dc:creator>thinkpad</dc:creator>
  <cp:lastModifiedBy>涛涛</cp:lastModifiedBy>
  <dcterms:modified xsi:type="dcterms:W3CDTF">2023-10-16T08:15:10Z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35A23E4E30C544FEA541B0E193B625F1_12</vt:lpwstr>
  </property>
</Properties>
</file>